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仿宋_GB2312" w:eastAsia="仿宋_GB2312"/>
          <w:snapToGrid w:val="0"/>
          <w:color w:val="000000"/>
          <w:sz w:val="32"/>
          <w:szCs w:val="32"/>
        </w:rPr>
      </w:pPr>
    </w:p>
    <w:p>
      <w:pPr>
        <w:spacing w:line="600" w:lineRule="exact"/>
        <w:jc w:val="center"/>
        <w:rPr>
          <w:rFonts w:ascii="仿宋_GB2312" w:eastAsia="仿宋_GB2312"/>
          <w:snapToGrid w:val="0"/>
          <w:color w:val="000000"/>
          <w:sz w:val="32"/>
          <w:szCs w:val="32"/>
        </w:rPr>
      </w:pPr>
      <w:r>
        <w:rPr>
          <w:rFonts w:ascii="仿宋_GB2312" w:eastAsia="仿宋_GB2312"/>
          <w:color w:val="000000"/>
          <w:sz w:val="32"/>
          <w:szCs w:val="32"/>
        </w:rPr>
        <w:pict>
          <v:shape id="_x0000_s1029" o:spid="_x0000_s1029" o:spt="136" type="#_x0000_t136" style="position:absolute;left:0pt;margin-left:29.95pt;margin-top:15.9pt;height:70.2pt;width:360pt;z-index:251661312;mso-width-relative:page;mso-height-relative:page;" fillcolor="#FF0000" filled="t" stroked="f" coordsize="21600,21600">
            <v:path/>
            <v:fill on="t" focussize="0,0"/>
            <v:stroke on="f"/>
            <v:imagedata o:title=""/>
            <o:lock v:ext="edit" text="f"/>
            <v:textpath on="t" fitpath="t" trim="t" xscale="f" string="滕州市人民政府文件" style="font-family:华文中宋;font-size:36pt;font-weight:bold;v-text-align:center;"/>
          </v:shape>
        </w:pict>
      </w:r>
    </w:p>
    <w:p>
      <w:pPr>
        <w:spacing w:line="600" w:lineRule="exact"/>
        <w:jc w:val="center"/>
        <w:rPr>
          <w:rFonts w:ascii="仿宋_GB2312" w:eastAsia="仿宋_GB2312"/>
          <w:snapToGrid w:val="0"/>
          <w:color w:val="000000"/>
          <w:sz w:val="32"/>
          <w:szCs w:val="32"/>
        </w:rPr>
      </w:pPr>
    </w:p>
    <w:p>
      <w:pPr>
        <w:spacing w:line="600" w:lineRule="exact"/>
        <w:jc w:val="center"/>
        <w:rPr>
          <w:rFonts w:ascii="仿宋_GB2312" w:eastAsia="仿宋_GB2312"/>
          <w:snapToGrid w:val="0"/>
          <w:color w:val="000000"/>
          <w:sz w:val="32"/>
          <w:szCs w:val="32"/>
        </w:rPr>
      </w:pPr>
    </w:p>
    <w:p>
      <w:pPr>
        <w:spacing w:line="600" w:lineRule="exact"/>
        <w:jc w:val="center"/>
        <w:rPr>
          <w:rFonts w:ascii="仿宋_GB2312" w:eastAsia="仿宋_GB2312"/>
          <w:snapToGrid w:val="0"/>
          <w:color w:val="000000"/>
          <w:sz w:val="32"/>
          <w:szCs w:val="32"/>
        </w:rPr>
      </w:pPr>
    </w:p>
    <w:p>
      <w:pPr>
        <w:spacing w:line="600" w:lineRule="exact"/>
        <w:jc w:val="center"/>
        <w:rPr>
          <w:rFonts w:ascii="仿宋_GB2312" w:eastAsia="仿宋_GB2312"/>
          <w:snapToGrid w:val="0"/>
          <w:color w:val="000000"/>
          <w:sz w:val="32"/>
          <w:szCs w:val="32"/>
        </w:rPr>
      </w:pPr>
      <w:r>
        <w:rPr>
          <w:rFonts w:hint="eastAsia" w:ascii="仿宋_GB2312" w:eastAsia="仿宋_GB2312"/>
          <w:snapToGrid w:val="0"/>
          <w:color w:val="000000"/>
          <w:sz w:val="32"/>
          <w:szCs w:val="32"/>
        </w:rPr>
        <w:t>滕政发〔</w:t>
      </w:r>
      <w:r>
        <w:rPr>
          <w:rFonts w:ascii="仿宋_GB2312" w:eastAsia="仿宋_GB2312"/>
          <w:snapToGrid w:val="0"/>
          <w:color w:val="000000"/>
          <w:sz w:val="32"/>
          <w:szCs w:val="32"/>
        </w:rPr>
        <w:t>2017</w:t>
      </w:r>
      <w:r>
        <w:rPr>
          <w:rFonts w:hint="eastAsia" w:ascii="仿宋_GB2312" w:eastAsia="仿宋_GB2312"/>
          <w:snapToGrid w:val="0"/>
          <w:color w:val="000000"/>
          <w:sz w:val="32"/>
          <w:szCs w:val="32"/>
        </w:rPr>
        <w:t>〕45号</w:t>
      </w:r>
    </w:p>
    <w:p>
      <w:pPr>
        <w:spacing w:line="600" w:lineRule="exact"/>
        <w:jc w:val="center"/>
        <w:rPr>
          <w:rFonts w:ascii="仿宋_GB2312" w:eastAsia="仿宋_GB2312"/>
          <w:snapToGrid w:val="0"/>
          <w:color w:val="000000"/>
          <w:sz w:val="32"/>
          <w:szCs w:val="32"/>
        </w:rPr>
      </w:pPr>
      <w:r>
        <w:rPr>
          <w:rFonts w:ascii="仿宋_GB2312" w:eastAsia="仿宋_GB2312"/>
          <w:color w:val="000000"/>
          <w:sz w:val="32"/>
          <w:szCs w:val="32"/>
        </w:rPr>
        <mc:AlternateContent>
          <mc:Choice Requires="wps">
            <w:drawing>
              <wp:anchor distT="0" distB="0" distL="114300" distR="114300" simplePos="0" relativeHeight="251662336" behindDoc="0" locked="0" layoutInCell="1" allowOverlap="1">
                <wp:simplePos x="0" y="0"/>
                <wp:positionH relativeFrom="column">
                  <wp:posOffset>177165</wp:posOffset>
                </wp:positionH>
                <wp:positionV relativeFrom="paragraph">
                  <wp:posOffset>285750</wp:posOffset>
                </wp:positionV>
                <wp:extent cx="5143500" cy="635"/>
                <wp:effectExtent l="0" t="0" r="0" b="0"/>
                <wp:wrapNone/>
                <wp:docPr id="4" name="直线 6"/>
                <wp:cNvGraphicFramePr/>
                <a:graphic xmlns:a="http://schemas.openxmlformats.org/drawingml/2006/main">
                  <a:graphicData uri="http://schemas.microsoft.com/office/word/2010/wordprocessingShape">
                    <wps:wsp>
                      <wps:cNvSpPr/>
                      <wps:spPr>
                        <a:xfrm>
                          <a:off x="0" y="0"/>
                          <a:ext cx="5143500" cy="635"/>
                        </a:xfrm>
                        <a:prstGeom prst="line">
                          <a:avLst/>
                        </a:prstGeom>
                        <a:ln w="28575" cap="flat" cmpd="sng">
                          <a:solidFill>
                            <a:srgbClr val="FF0000"/>
                          </a:solidFill>
                          <a:prstDash val="solid"/>
                          <a:headEnd type="none" w="med" len="med"/>
                          <a:tailEnd type="none" w="med" len="med"/>
                        </a:ln>
                      </wps:spPr>
                      <wps:bodyPr upright="true"/>
                    </wps:wsp>
                  </a:graphicData>
                </a:graphic>
              </wp:anchor>
            </w:drawing>
          </mc:Choice>
          <mc:Fallback>
            <w:pict>
              <v:line id="直线 6" o:spid="_x0000_s1026" o:spt="20" style="position:absolute;left:0pt;margin-left:13.95pt;margin-top:22.5pt;height:0.05pt;width:405pt;z-index:251662336;mso-width-relative:page;mso-height-relative:page;" filled="f" stroked="t" coordsize="21600,21600" o:gfxdata="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BYAAABkcnMvUEsBAhQAFAAAAAgAh07iQPudWdvV&#10;AAAACAEAAA8AAAAAAAAAAQAgAAAAOAAAAGRycy9kb3ducmV2LnhtbFBLAQIUABQAAAAIAIdO4kAL&#10;zhDc1AEAAJMDAAAOAAAAAAAAAAEAIAAAADoBAABkcnMvZTJvRG9jLnhtbFBLBQYAAAAABgAGAFkB&#10;AACABQAAAAA=&#10;">
                <v:fill on="f" focussize="0,0"/>
                <v:stroke weight="2.25pt" color="#FF0000" joinstyle="round"/>
                <v:imagedata o:title=""/>
                <o:lock v:ext="edit" aspectratio="f"/>
              </v:line>
            </w:pict>
          </mc:Fallback>
        </mc:AlternateContent>
      </w:r>
    </w:p>
    <w:p>
      <w:pPr>
        <w:spacing w:line="600" w:lineRule="exact"/>
        <w:jc w:val="center"/>
        <w:rPr>
          <w:rFonts w:ascii="仿宋_GB2312" w:eastAsia="仿宋_GB2312"/>
          <w:snapToGrid w:val="0"/>
          <w:color w:val="000000"/>
          <w:sz w:val="32"/>
          <w:szCs w:val="32"/>
        </w:rPr>
      </w:pPr>
    </w:p>
    <w:p>
      <w:pPr>
        <w:spacing w:line="600" w:lineRule="exact"/>
        <w:jc w:val="center"/>
        <w:rPr>
          <w:rFonts w:ascii="方正小标宋简体" w:eastAsia="方正小标宋简体"/>
          <w:snapToGrid w:val="0"/>
          <w:color w:val="000000"/>
          <w:sz w:val="44"/>
          <w:szCs w:val="44"/>
        </w:rPr>
      </w:pPr>
      <w:r>
        <w:rPr>
          <w:rFonts w:hint="eastAsia" w:ascii="方正小标宋简体" w:eastAsia="方正小标宋简体"/>
          <w:snapToGrid w:val="0"/>
          <w:color w:val="000000"/>
          <w:sz w:val="44"/>
          <w:szCs w:val="44"/>
        </w:rPr>
        <w:t>滕州市人民政府</w:t>
      </w:r>
    </w:p>
    <w:p>
      <w:pPr>
        <w:spacing w:line="600" w:lineRule="exact"/>
        <w:jc w:val="center"/>
        <w:rPr>
          <w:rFonts w:ascii="方正小标宋简体" w:hAnsi="仿宋" w:eastAsia="方正小标宋简体"/>
          <w:sz w:val="44"/>
          <w:szCs w:val="44"/>
        </w:rPr>
      </w:pPr>
      <w:r>
        <w:rPr>
          <w:rFonts w:hint="eastAsia" w:ascii="方正小标宋简体" w:hAnsi="仿宋" w:eastAsia="方正小标宋简体"/>
          <w:sz w:val="44"/>
          <w:szCs w:val="44"/>
        </w:rPr>
        <w:t>关于印发《滕州市镇街税收收入增长奖励</w:t>
      </w:r>
    </w:p>
    <w:p>
      <w:pPr>
        <w:spacing w:line="600" w:lineRule="exact"/>
        <w:jc w:val="center"/>
        <w:rPr>
          <w:rFonts w:ascii="方正小标宋简体" w:hAnsi="仿宋" w:eastAsia="方正小标宋简体"/>
          <w:sz w:val="44"/>
          <w:szCs w:val="44"/>
        </w:rPr>
      </w:pPr>
      <w:r>
        <w:rPr>
          <w:rFonts w:hint="eastAsia" w:ascii="方正小标宋简体" w:hAnsi="仿宋" w:eastAsia="方正小标宋简体"/>
          <w:sz w:val="44"/>
          <w:szCs w:val="44"/>
        </w:rPr>
        <w:t>暂行办法》的通知</w:t>
      </w:r>
    </w:p>
    <w:p>
      <w:pPr>
        <w:spacing w:line="600" w:lineRule="exact"/>
        <w:rPr>
          <w:rFonts w:eastAsia="仿宋_GB2312"/>
          <w:snapToGrid w:val="0"/>
          <w:color w:val="000000"/>
          <w:sz w:val="32"/>
          <w:szCs w:val="32"/>
        </w:rPr>
      </w:pPr>
    </w:p>
    <w:p>
      <w:pPr>
        <w:spacing w:line="600" w:lineRule="exact"/>
        <w:rPr>
          <w:rFonts w:ascii="仿宋_GB2312" w:hAnsi="仿宋" w:eastAsia="仿宋_GB2312"/>
          <w:sz w:val="32"/>
          <w:szCs w:val="32"/>
        </w:rPr>
      </w:pPr>
      <w:r>
        <w:rPr>
          <w:rFonts w:ascii="仿宋_GB2312" w:hAnsi="仿宋_GB2312" w:eastAsia="仿宋_GB2312" w:cs="仿宋_GB2312"/>
          <w:sz w:val="32"/>
          <w:szCs w:val="32"/>
        </w:rPr>
        <w:t>各镇人民政府、街道办事处，滕州经济开发区管委会，市政府各部门，各企事业单位：</w:t>
      </w:r>
    </w:p>
    <w:p>
      <w:pPr>
        <w:spacing w:line="600" w:lineRule="exact"/>
        <w:ind w:firstLine="640" w:firstLineChars="200"/>
        <w:rPr>
          <w:rFonts w:ascii="仿宋_GB2312" w:eastAsia="仿宋_GB2312"/>
          <w:snapToGrid w:val="0"/>
          <w:color w:val="000000"/>
          <w:sz w:val="32"/>
          <w:szCs w:val="32"/>
        </w:rPr>
      </w:pPr>
      <w:r>
        <w:rPr>
          <w:rFonts w:hint="eastAsia" w:ascii="仿宋_GB2312" w:eastAsia="仿宋_GB2312"/>
          <w:snapToGrid w:val="0"/>
          <w:color w:val="000000"/>
          <w:sz w:val="32"/>
          <w:szCs w:val="32"/>
        </w:rPr>
        <w:t>现将《滕州市镇街税收收入增长奖励暂行办法》印发给你们</w:t>
      </w:r>
      <w:bookmarkStart w:id="0" w:name="_GoBack"/>
      <w:bookmarkEnd w:id="0"/>
      <w:r>
        <w:rPr>
          <w:rFonts w:hint="eastAsia" w:ascii="仿宋_GB2312" w:eastAsia="仿宋_GB2312"/>
          <w:snapToGrid w:val="0"/>
          <w:color w:val="000000"/>
          <w:sz w:val="32"/>
          <w:szCs w:val="32"/>
        </w:rPr>
        <w:t>，请认真抓好贯彻落实。</w:t>
      </w:r>
    </w:p>
    <w:p>
      <w:pPr>
        <w:spacing w:line="600" w:lineRule="exact"/>
        <w:rPr>
          <w:rFonts w:ascii="仿宋_GB2312" w:eastAsia="仿宋_GB2312"/>
          <w:snapToGrid w:val="0"/>
          <w:color w:val="000000"/>
          <w:sz w:val="32"/>
          <w:szCs w:val="32"/>
        </w:rPr>
      </w:pPr>
    </w:p>
    <w:p>
      <w:pPr>
        <w:spacing w:line="600" w:lineRule="exact"/>
        <w:ind w:firstLine="5536" w:firstLineChars="1730"/>
        <w:rPr>
          <w:rFonts w:ascii="仿宋_GB2312" w:eastAsia="仿宋_GB2312"/>
          <w:snapToGrid w:val="0"/>
          <w:color w:val="000000"/>
          <w:sz w:val="32"/>
          <w:szCs w:val="32"/>
        </w:rPr>
      </w:pPr>
    </w:p>
    <w:p>
      <w:pPr>
        <w:spacing w:line="600" w:lineRule="exact"/>
        <w:rPr>
          <w:rFonts w:ascii="仿宋_GB2312" w:eastAsia="仿宋_GB2312"/>
          <w:snapToGrid w:val="0"/>
          <w:color w:val="000000"/>
          <w:sz w:val="32"/>
          <w:szCs w:val="32"/>
        </w:rPr>
      </w:pPr>
    </w:p>
    <w:p>
      <w:pPr>
        <w:spacing w:line="600" w:lineRule="exact"/>
        <w:ind w:right="480"/>
        <w:jc w:val="right"/>
        <w:rPr>
          <w:rFonts w:ascii="仿宋_GB2312" w:eastAsia="仿宋_GB2312"/>
          <w:snapToGrid w:val="0"/>
          <w:color w:val="000000"/>
          <w:sz w:val="32"/>
          <w:szCs w:val="32"/>
        </w:rPr>
      </w:pPr>
      <w:r>
        <w:rPr>
          <w:rFonts w:hint="eastAsia" w:ascii="仿宋_GB2312" w:eastAsia="仿宋_GB2312"/>
          <w:snapToGrid w:val="0"/>
          <w:color w:val="000000"/>
          <w:sz w:val="32"/>
          <w:szCs w:val="32"/>
          <w:lang w:val="en-US" w:eastAsia="zh-CN"/>
        </w:rPr>
        <w:t xml:space="preserve">     </w:t>
      </w:r>
      <w:r>
        <w:rPr>
          <w:rFonts w:hint="eastAsia" w:ascii="仿宋_GB2312" w:eastAsia="仿宋_GB2312"/>
          <w:snapToGrid w:val="0"/>
          <w:color w:val="000000"/>
          <w:sz w:val="32"/>
          <w:szCs w:val="32"/>
        </w:rPr>
        <w:t>滕州市人民政府</w:t>
      </w:r>
    </w:p>
    <w:p>
      <w:pPr>
        <w:spacing w:line="600" w:lineRule="exact"/>
        <w:jc w:val="center"/>
        <w:rPr>
          <w:rFonts w:ascii="仿宋_GB2312" w:eastAsia="仿宋_GB2312"/>
          <w:snapToGrid w:val="0"/>
          <w:color w:val="000000"/>
          <w:sz w:val="32"/>
          <w:szCs w:val="32"/>
        </w:rPr>
      </w:pPr>
      <w:r>
        <w:rPr>
          <w:rFonts w:hint="eastAsia" w:ascii="仿宋_GB2312" w:eastAsia="仿宋_GB2312"/>
          <w:snapToGrid w:val="0"/>
          <w:color w:val="000000"/>
          <w:sz w:val="32"/>
          <w:szCs w:val="32"/>
          <w:lang w:val="en-US" w:eastAsia="zh-CN"/>
        </w:rPr>
        <w:t xml:space="preserve">                                </w:t>
      </w:r>
      <w:r>
        <w:rPr>
          <w:rFonts w:ascii="仿宋_GB2312" w:eastAsia="仿宋_GB2312"/>
          <w:snapToGrid w:val="0"/>
          <w:color w:val="000000"/>
          <w:sz w:val="32"/>
          <w:szCs w:val="32"/>
        </w:rPr>
        <w:t>2017</w:t>
      </w:r>
      <w:r>
        <w:rPr>
          <w:rFonts w:hint="eastAsia" w:ascii="仿宋_GB2312" w:eastAsia="仿宋_GB2312"/>
          <w:snapToGrid w:val="0"/>
          <w:color w:val="000000"/>
          <w:sz w:val="32"/>
          <w:szCs w:val="32"/>
        </w:rPr>
        <w:t>年4月18日</w:t>
      </w:r>
    </w:p>
    <w:p>
      <w:pPr>
        <w:spacing w:line="600" w:lineRule="exact"/>
        <w:jc w:val="center"/>
        <w:rPr>
          <w:rFonts w:ascii="方正小标宋简体" w:hAnsi="仿宋" w:eastAsia="方正小标宋简体"/>
          <w:sz w:val="44"/>
          <w:szCs w:val="44"/>
        </w:rPr>
      </w:pPr>
    </w:p>
    <w:p>
      <w:pPr>
        <w:spacing w:line="600" w:lineRule="exact"/>
        <w:jc w:val="center"/>
        <w:rPr>
          <w:rFonts w:ascii="方正小标宋简体" w:hAnsi="仿宋" w:eastAsia="方正小标宋简体"/>
          <w:sz w:val="44"/>
          <w:szCs w:val="44"/>
        </w:rPr>
      </w:pPr>
    </w:p>
    <w:p>
      <w:pPr>
        <w:spacing w:line="600" w:lineRule="exact"/>
        <w:jc w:val="center"/>
        <w:rPr>
          <w:rFonts w:ascii="方正小标宋简体" w:hAnsi="仿宋" w:eastAsia="方正小标宋简体"/>
          <w:sz w:val="44"/>
          <w:szCs w:val="44"/>
        </w:rPr>
      </w:pPr>
      <w:r>
        <w:rPr>
          <w:rFonts w:hint="eastAsia" w:ascii="方正小标宋简体" w:hAnsi="仿宋" w:eastAsia="方正小标宋简体"/>
          <w:sz w:val="44"/>
          <w:szCs w:val="44"/>
        </w:rPr>
        <w:t>滕州市镇街税收收入增长奖励暂行办法</w:t>
      </w:r>
    </w:p>
    <w:p>
      <w:pPr>
        <w:spacing w:line="600" w:lineRule="exact"/>
        <w:rPr>
          <w:rFonts w:ascii="仿宋_GB2312" w:hAnsi="仿宋" w:eastAsia="仿宋_GB2312"/>
          <w:sz w:val="32"/>
          <w:szCs w:val="32"/>
        </w:rPr>
      </w:pPr>
    </w:p>
    <w:p>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为促进镇街加强财源建设，</w:t>
      </w:r>
      <w:r>
        <w:rPr>
          <w:rFonts w:hint="eastAsia" w:ascii="仿宋_GB2312" w:eastAsia="仿宋_GB2312"/>
          <w:snapToGrid w:val="0"/>
          <w:color w:val="000000"/>
          <w:sz w:val="32"/>
          <w:szCs w:val="32"/>
        </w:rPr>
        <w:t>推进税收共治，加强收入征管，</w:t>
      </w:r>
      <w:r>
        <w:rPr>
          <w:rFonts w:hint="eastAsia" w:ascii="仿宋_GB2312" w:hAnsi="仿宋" w:eastAsia="仿宋_GB2312"/>
          <w:sz w:val="32"/>
          <w:szCs w:val="32"/>
        </w:rPr>
        <w:t>努力实现经济增长、财政增收目标，经研究，特制定本奖励办法。</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一、奖励对象</w:t>
      </w:r>
    </w:p>
    <w:p>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以各镇街</w:t>
      </w:r>
      <w:r>
        <w:rPr>
          <w:rFonts w:ascii="仿宋_GB2312" w:hAnsi="仿宋" w:eastAsia="仿宋_GB2312"/>
          <w:sz w:val="32"/>
          <w:szCs w:val="32"/>
        </w:rPr>
        <w:t>2015</w:t>
      </w:r>
      <w:r>
        <w:rPr>
          <w:rFonts w:hint="eastAsia" w:ascii="仿宋_GB2312" w:hAnsi="仿宋" w:eastAsia="仿宋_GB2312"/>
          <w:sz w:val="32"/>
          <w:szCs w:val="32"/>
        </w:rPr>
        <w:t>年和</w:t>
      </w:r>
      <w:r>
        <w:rPr>
          <w:rFonts w:ascii="仿宋_GB2312" w:hAnsi="仿宋" w:eastAsia="仿宋_GB2312"/>
          <w:sz w:val="32"/>
          <w:szCs w:val="32"/>
        </w:rPr>
        <w:t>2016</w:t>
      </w:r>
      <w:r>
        <w:rPr>
          <w:rFonts w:hint="eastAsia" w:ascii="仿宋_GB2312" w:hAnsi="仿宋" w:eastAsia="仿宋_GB2312"/>
          <w:sz w:val="32"/>
          <w:szCs w:val="32"/>
        </w:rPr>
        <w:t>年实际税收平均数为基础，考虑体制调整及税源重大变化等因素，合理确定各镇街基数，对各镇街</w:t>
      </w:r>
      <w:r>
        <w:rPr>
          <w:rFonts w:ascii="仿宋_GB2312" w:hAnsi="仿宋" w:eastAsia="仿宋_GB2312"/>
          <w:sz w:val="32"/>
          <w:szCs w:val="32"/>
        </w:rPr>
        <w:t>2017</w:t>
      </w:r>
      <w:r>
        <w:rPr>
          <w:rFonts w:hint="eastAsia" w:ascii="仿宋_GB2312" w:hAnsi="仿宋" w:eastAsia="仿宋_GB2312"/>
          <w:sz w:val="32"/>
          <w:szCs w:val="32"/>
        </w:rPr>
        <w:t>年实际税收超基数的增量部分，根据镇街所属类别给予不同比例的奖励资金。</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二、类别划分</w:t>
      </w:r>
    </w:p>
    <w:p>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根据各镇街人均可用财力、基本支出需求、财力缺口、财政困难程度等因素，将全市</w:t>
      </w:r>
      <w:r>
        <w:rPr>
          <w:rFonts w:ascii="仿宋_GB2312" w:hAnsi="仿宋" w:eastAsia="仿宋_GB2312"/>
          <w:sz w:val="32"/>
          <w:szCs w:val="32"/>
        </w:rPr>
        <w:t>21</w:t>
      </w:r>
      <w:r>
        <w:rPr>
          <w:rFonts w:hint="eastAsia" w:ascii="仿宋_GB2312" w:hAnsi="仿宋" w:eastAsia="仿宋_GB2312"/>
          <w:sz w:val="32"/>
          <w:szCs w:val="32"/>
        </w:rPr>
        <w:t>个镇街分为四类。</w:t>
      </w:r>
    </w:p>
    <w:p>
      <w:pPr>
        <w:spacing w:line="600" w:lineRule="exact"/>
        <w:ind w:firstLine="640" w:firstLineChars="200"/>
        <w:rPr>
          <w:rFonts w:ascii="楷体_GB2312" w:hAnsi="仿宋" w:eastAsia="楷体_GB2312"/>
          <w:sz w:val="32"/>
          <w:szCs w:val="32"/>
        </w:rPr>
      </w:pPr>
      <w:r>
        <w:rPr>
          <w:rFonts w:hint="eastAsia" w:ascii="楷体_GB2312" w:hAnsi="仿宋" w:eastAsia="楷体_GB2312"/>
          <w:sz w:val="32"/>
          <w:szCs w:val="32"/>
        </w:rPr>
        <w:t>（一）一类镇街</w:t>
      </w:r>
    </w:p>
    <w:p>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按照镇街每月实际税收超基数的增量部分，市政府给予</w:t>
      </w:r>
      <w:r>
        <w:rPr>
          <w:rFonts w:ascii="仿宋_GB2312" w:hAnsi="仿宋" w:eastAsia="仿宋_GB2312"/>
          <w:sz w:val="32"/>
          <w:szCs w:val="32"/>
        </w:rPr>
        <w:t>30%</w:t>
      </w:r>
      <w:r>
        <w:rPr>
          <w:rFonts w:hint="eastAsia" w:ascii="仿宋_GB2312" w:hAnsi="仿宋" w:eastAsia="仿宋_GB2312"/>
          <w:sz w:val="32"/>
          <w:szCs w:val="32"/>
        </w:rPr>
        <w:t>的奖励资金。共</w:t>
      </w:r>
      <w:r>
        <w:rPr>
          <w:rFonts w:ascii="仿宋_GB2312" w:hAnsi="仿宋" w:eastAsia="仿宋_GB2312"/>
          <w:sz w:val="32"/>
          <w:szCs w:val="32"/>
        </w:rPr>
        <w:t>6</w:t>
      </w:r>
      <w:r>
        <w:rPr>
          <w:rFonts w:hint="eastAsia" w:ascii="仿宋_GB2312" w:hAnsi="仿宋" w:eastAsia="仿宋_GB2312"/>
          <w:sz w:val="32"/>
          <w:szCs w:val="32"/>
        </w:rPr>
        <w:t>个镇街：龙泉街道、西岗镇、北辛街道、级索镇、荆河街道、滨湖镇。</w:t>
      </w:r>
    </w:p>
    <w:p>
      <w:pPr>
        <w:spacing w:line="600" w:lineRule="exact"/>
        <w:ind w:firstLine="640" w:firstLineChars="200"/>
        <w:rPr>
          <w:rFonts w:ascii="楷体_GB2312" w:hAnsi="仿宋" w:eastAsia="楷体_GB2312"/>
          <w:sz w:val="32"/>
          <w:szCs w:val="32"/>
        </w:rPr>
      </w:pPr>
      <w:r>
        <w:rPr>
          <w:rFonts w:hint="eastAsia" w:ascii="楷体_GB2312" w:hAnsi="仿宋" w:eastAsia="楷体_GB2312"/>
          <w:sz w:val="32"/>
          <w:szCs w:val="32"/>
        </w:rPr>
        <w:t>（二）二类镇街</w:t>
      </w:r>
    </w:p>
    <w:p>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按照镇街每月实际税收超基数的增量部分，市政府给予</w:t>
      </w:r>
      <w:r>
        <w:rPr>
          <w:rFonts w:ascii="仿宋_GB2312" w:hAnsi="仿宋" w:eastAsia="仿宋_GB2312"/>
          <w:sz w:val="32"/>
          <w:szCs w:val="32"/>
        </w:rPr>
        <w:t>60%</w:t>
      </w:r>
      <w:r>
        <w:rPr>
          <w:rFonts w:hint="eastAsia" w:ascii="仿宋_GB2312" w:hAnsi="仿宋" w:eastAsia="仿宋_GB2312"/>
          <w:sz w:val="32"/>
          <w:szCs w:val="32"/>
        </w:rPr>
        <w:t>的奖励资金。共</w:t>
      </w:r>
      <w:r>
        <w:rPr>
          <w:rFonts w:ascii="仿宋_GB2312" w:hAnsi="仿宋" w:eastAsia="仿宋_GB2312"/>
          <w:sz w:val="32"/>
          <w:szCs w:val="32"/>
        </w:rPr>
        <w:t>5</w:t>
      </w:r>
      <w:r>
        <w:rPr>
          <w:rFonts w:hint="eastAsia" w:ascii="仿宋_GB2312" w:hAnsi="仿宋" w:eastAsia="仿宋_GB2312"/>
          <w:sz w:val="32"/>
          <w:szCs w:val="32"/>
        </w:rPr>
        <w:t>个镇街：洪绪镇、善南街道、木石镇、东沙河镇、南沙河镇。</w:t>
      </w:r>
    </w:p>
    <w:p>
      <w:pPr>
        <w:spacing w:line="600" w:lineRule="exact"/>
        <w:ind w:firstLine="640" w:firstLineChars="200"/>
        <w:rPr>
          <w:rFonts w:ascii="楷体_GB2312" w:hAnsi="仿宋" w:eastAsia="楷体_GB2312"/>
          <w:sz w:val="32"/>
          <w:szCs w:val="32"/>
        </w:rPr>
      </w:pPr>
      <w:r>
        <w:rPr>
          <w:rFonts w:hint="eastAsia" w:ascii="楷体_GB2312" w:hAnsi="仿宋" w:eastAsia="楷体_GB2312"/>
          <w:sz w:val="32"/>
          <w:szCs w:val="32"/>
        </w:rPr>
        <w:t>（三）三类镇街</w:t>
      </w:r>
    </w:p>
    <w:p>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按照镇街每月实际税收超基数的增量部分，市政府给予</w:t>
      </w:r>
      <w:r>
        <w:rPr>
          <w:rFonts w:ascii="仿宋_GB2312" w:hAnsi="仿宋" w:eastAsia="仿宋_GB2312"/>
          <w:sz w:val="32"/>
          <w:szCs w:val="32"/>
        </w:rPr>
        <w:t>100%</w:t>
      </w:r>
      <w:r>
        <w:rPr>
          <w:rFonts w:hint="eastAsia" w:ascii="仿宋_GB2312" w:hAnsi="仿宋" w:eastAsia="仿宋_GB2312"/>
          <w:sz w:val="32"/>
          <w:szCs w:val="32"/>
        </w:rPr>
        <w:t>的奖励资金。共</w:t>
      </w:r>
      <w:r>
        <w:rPr>
          <w:rFonts w:ascii="仿宋_GB2312" w:hAnsi="仿宋" w:eastAsia="仿宋_GB2312"/>
          <w:sz w:val="32"/>
          <w:szCs w:val="32"/>
        </w:rPr>
        <w:t>7</w:t>
      </w:r>
      <w:r>
        <w:rPr>
          <w:rFonts w:hint="eastAsia" w:ascii="仿宋_GB2312" w:hAnsi="仿宋" w:eastAsia="仿宋_GB2312"/>
          <w:sz w:val="32"/>
          <w:szCs w:val="32"/>
        </w:rPr>
        <w:t>个镇街：鲍沟镇、张汪镇、官桥镇、东郭镇、界河镇、羊庄镇、龙阳镇。</w:t>
      </w:r>
    </w:p>
    <w:p>
      <w:pPr>
        <w:spacing w:line="600" w:lineRule="exact"/>
        <w:ind w:firstLine="640" w:firstLineChars="200"/>
        <w:rPr>
          <w:rFonts w:ascii="楷体_GB2312" w:hAnsi="仿宋" w:eastAsia="楷体_GB2312"/>
          <w:sz w:val="32"/>
          <w:szCs w:val="32"/>
        </w:rPr>
      </w:pPr>
      <w:r>
        <w:rPr>
          <w:rFonts w:hint="eastAsia" w:ascii="楷体_GB2312" w:hAnsi="仿宋" w:eastAsia="楷体_GB2312"/>
          <w:sz w:val="32"/>
          <w:szCs w:val="32"/>
        </w:rPr>
        <w:t>（四）四类镇街</w:t>
      </w:r>
    </w:p>
    <w:p>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按照镇街每月实际税收超基数的增量部分，市政府给予</w:t>
      </w:r>
      <w:r>
        <w:rPr>
          <w:rFonts w:ascii="仿宋_GB2312" w:hAnsi="仿宋" w:eastAsia="仿宋_GB2312"/>
          <w:sz w:val="32"/>
          <w:szCs w:val="32"/>
        </w:rPr>
        <w:t>200%</w:t>
      </w:r>
      <w:r>
        <w:rPr>
          <w:rFonts w:hint="eastAsia" w:ascii="仿宋_GB2312" w:hAnsi="仿宋" w:eastAsia="仿宋_GB2312"/>
          <w:sz w:val="32"/>
          <w:szCs w:val="32"/>
        </w:rPr>
        <w:t>的奖励资金。共</w:t>
      </w:r>
      <w:r>
        <w:rPr>
          <w:rFonts w:ascii="仿宋_GB2312" w:hAnsi="仿宋" w:eastAsia="仿宋_GB2312"/>
          <w:sz w:val="32"/>
          <w:szCs w:val="32"/>
        </w:rPr>
        <w:t>3</w:t>
      </w:r>
      <w:r>
        <w:rPr>
          <w:rFonts w:hint="eastAsia" w:ascii="仿宋_GB2312" w:hAnsi="仿宋" w:eastAsia="仿宋_GB2312"/>
          <w:sz w:val="32"/>
          <w:szCs w:val="32"/>
        </w:rPr>
        <w:t>个镇街：姜屯镇、柴胡店镇、大坞镇。</w:t>
      </w:r>
    </w:p>
    <w:p>
      <w:pPr>
        <w:spacing w:line="600" w:lineRule="exact"/>
        <w:ind w:firstLine="640" w:firstLineChars="200"/>
        <w:rPr>
          <w:rFonts w:ascii="黑体" w:hAnsi="仿宋" w:eastAsia="黑体"/>
          <w:sz w:val="32"/>
          <w:szCs w:val="32"/>
        </w:rPr>
      </w:pPr>
      <w:r>
        <w:rPr>
          <w:rFonts w:hint="eastAsia" w:ascii="黑体" w:hAnsi="仿宋" w:eastAsia="黑体"/>
          <w:sz w:val="32"/>
          <w:szCs w:val="32"/>
        </w:rPr>
        <w:t>三、数据来源</w:t>
      </w:r>
    </w:p>
    <w:p>
      <w:pPr>
        <w:spacing w:line="600" w:lineRule="exact"/>
        <w:ind w:firstLine="640" w:firstLineChars="200"/>
        <w:rPr>
          <w:rFonts w:ascii="仿宋_GB2312" w:hAnsi="仿宋" w:eastAsia="仿宋_GB2312"/>
          <w:sz w:val="32"/>
          <w:szCs w:val="32"/>
        </w:rPr>
      </w:pPr>
      <w:r>
        <w:rPr>
          <w:rFonts w:ascii="仿宋_GB2312" w:hAnsi="仿宋" w:eastAsia="仿宋_GB2312"/>
          <w:sz w:val="32"/>
          <w:szCs w:val="32"/>
        </w:rPr>
        <w:t>2017</w:t>
      </w:r>
      <w:r>
        <w:rPr>
          <w:rFonts w:hint="eastAsia" w:ascii="仿宋_GB2312" w:hAnsi="仿宋" w:eastAsia="仿宋_GB2312"/>
          <w:sz w:val="32"/>
          <w:szCs w:val="32"/>
        </w:rPr>
        <w:t>年镇街实际税收数据由国地税部门负责提供，每月</w:t>
      </w:r>
      <w:r>
        <w:rPr>
          <w:rFonts w:ascii="仿宋_GB2312" w:hAnsi="仿宋" w:eastAsia="仿宋_GB2312"/>
          <w:sz w:val="32"/>
          <w:szCs w:val="32"/>
        </w:rPr>
        <w:t>3</w:t>
      </w:r>
      <w:r>
        <w:rPr>
          <w:rFonts w:hint="eastAsia" w:ascii="仿宋_GB2312" w:hAnsi="仿宋" w:eastAsia="仿宋_GB2312"/>
          <w:sz w:val="32"/>
          <w:szCs w:val="32"/>
        </w:rPr>
        <w:t>日前，市国税局和市地税局将镇街上月和累计实际税收数据提供市财政局。市财政局与镇街收入报解数据核对后，据此测算奖励资金。</w:t>
      </w:r>
    </w:p>
    <w:p>
      <w:pPr>
        <w:spacing w:line="600" w:lineRule="exact"/>
        <w:ind w:firstLine="640" w:firstLineChars="200"/>
        <w:rPr>
          <w:rFonts w:ascii="黑体" w:hAnsi="仿宋" w:eastAsia="黑体"/>
          <w:sz w:val="32"/>
          <w:szCs w:val="32"/>
        </w:rPr>
      </w:pPr>
      <w:r>
        <w:rPr>
          <w:rFonts w:hint="eastAsia" w:ascii="黑体" w:hAnsi="仿宋" w:eastAsia="黑体"/>
          <w:sz w:val="32"/>
          <w:szCs w:val="32"/>
        </w:rPr>
        <w:t>四、资金拨付</w:t>
      </w:r>
    </w:p>
    <w:p>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奖励资金按月预拨，按年清算。每月月初，市财政局根据国地税部门提供的镇街实际税收数据，计算镇街当年累计应享受奖励资金，减掉本年已拨奖励资金后，于次月</w:t>
      </w:r>
      <w:r>
        <w:rPr>
          <w:rFonts w:ascii="仿宋_GB2312" w:hAnsi="仿宋" w:eastAsia="仿宋_GB2312"/>
          <w:sz w:val="32"/>
          <w:szCs w:val="32"/>
        </w:rPr>
        <w:t>10</w:t>
      </w:r>
      <w:r>
        <w:rPr>
          <w:rFonts w:hint="eastAsia" w:ascii="仿宋_GB2312" w:hAnsi="仿宋" w:eastAsia="仿宋_GB2312"/>
          <w:sz w:val="32"/>
          <w:szCs w:val="32"/>
        </w:rPr>
        <w:t>日前将当月应奖励资金拨付至各镇街。各月份中镇街实际税收出现下降情况的，下降月份不享受奖励政策。年度终了后，市财政局根据各镇街全年实际税收增量，清算年度奖励资金，多退少补。</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五、资金用途</w:t>
      </w:r>
    </w:p>
    <w:p>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各镇街要将奖励资金全部用于机关干部工资发放、社会保险费缴纳、民生项目等刚性必保支出。</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六、监督考核</w:t>
      </w:r>
    </w:p>
    <w:p>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本办法采取一票否决考核制度。各镇街实际税收数据要确保真实、准确，市财政监督局负责对各镇街数据进行定期检查和不定期抽查。一旦发现镇街存在虚报实际税收数据、协调侵占市级税源或其他镇街税源、人为调节实际税收归属月份、将财政资金通过企业等纳税人周转入库等套取市财政奖励资金情况的，取消该镇街全年奖励资格，并将已拨付的奖励资金加倍扣回</w:t>
      </w:r>
      <w:r>
        <w:rPr>
          <w:rFonts w:ascii="仿宋_GB2312" w:hAnsi="仿宋" w:eastAsia="仿宋_GB2312"/>
          <w:sz w:val="32"/>
          <w:szCs w:val="32"/>
        </w:rPr>
        <w:t>;</w:t>
      </w:r>
      <w:r>
        <w:rPr>
          <w:rFonts w:hint="eastAsia" w:ascii="仿宋_GB2312" w:hAnsi="仿宋" w:eastAsia="仿宋_GB2312"/>
          <w:sz w:val="32"/>
          <w:szCs w:val="32"/>
        </w:rPr>
        <w:t>市经济社会发展综合考核中财政税收相关指标直接得零分。</w:t>
      </w:r>
    </w:p>
    <w:p>
      <w:pPr>
        <w:spacing w:line="600" w:lineRule="exact"/>
        <w:ind w:firstLine="640" w:firstLineChars="200"/>
        <w:rPr>
          <w:rFonts w:ascii="黑体" w:hAnsi="仿宋" w:eastAsia="黑体"/>
          <w:sz w:val="32"/>
          <w:szCs w:val="32"/>
        </w:rPr>
      </w:pPr>
      <w:r>
        <w:rPr>
          <w:rFonts w:hint="eastAsia" w:ascii="黑体" w:hAnsi="仿宋" w:eastAsia="黑体"/>
          <w:sz w:val="32"/>
          <w:szCs w:val="32"/>
        </w:rPr>
        <w:t>七、责任追究</w:t>
      </w:r>
    </w:p>
    <w:p>
      <w:pPr>
        <w:spacing w:line="600" w:lineRule="exact"/>
        <w:ind w:firstLine="640" w:firstLineChars="200"/>
        <w:rPr>
          <w:rFonts w:ascii="仿宋_GB2312" w:hAnsi="仿宋" w:eastAsia="仿宋_GB2312"/>
          <w:sz w:val="32"/>
          <w:szCs w:val="32"/>
        </w:rPr>
      </w:pPr>
      <w:r>
        <w:rPr>
          <w:rFonts w:hint="eastAsia" w:ascii="仿宋_GB2312" w:eastAsia="仿宋_GB2312"/>
          <w:sz w:val="32"/>
          <w:szCs w:val="32"/>
        </w:rPr>
        <w:t>根据《财政违法行为处罚处分条例》第六条规定，镇街以虚报、冒领等手段骗取市级奖励资金的，对镇街给予警告或者通报批评。对镇街主要负责人和其他直接责任人员给予相应的行政处分。</w:t>
      </w:r>
    </w:p>
    <w:p>
      <w:pPr>
        <w:spacing w:line="600" w:lineRule="exact"/>
        <w:ind w:firstLine="640" w:firstLineChars="200"/>
        <w:rPr>
          <w:rFonts w:ascii="仿宋_GB2312" w:hAnsi="仿宋" w:eastAsia="仿宋_GB2312"/>
          <w:sz w:val="32"/>
          <w:szCs w:val="32"/>
        </w:rPr>
      </w:pPr>
      <w:r>
        <w:rPr>
          <w:rFonts w:hint="eastAsia" w:ascii="仿宋_GB2312" w:hAnsi="仿宋" w:eastAsia="仿宋_GB2312"/>
          <w:sz w:val="32"/>
          <w:szCs w:val="32"/>
        </w:rPr>
        <w:t>本办法试行一年，从</w:t>
      </w:r>
      <w:r>
        <w:rPr>
          <w:rFonts w:ascii="仿宋_GB2312" w:hAnsi="仿宋" w:eastAsia="仿宋_GB2312"/>
          <w:sz w:val="32"/>
          <w:szCs w:val="32"/>
        </w:rPr>
        <w:t>2017</w:t>
      </w:r>
      <w:r>
        <w:rPr>
          <w:rFonts w:hint="eastAsia" w:ascii="仿宋_GB2312" w:hAnsi="仿宋" w:eastAsia="仿宋_GB2312"/>
          <w:sz w:val="32"/>
          <w:szCs w:val="32"/>
        </w:rPr>
        <w:t>年</w:t>
      </w:r>
      <w:r>
        <w:rPr>
          <w:rFonts w:ascii="仿宋_GB2312" w:hAnsi="仿宋" w:eastAsia="仿宋_GB2312"/>
          <w:sz w:val="32"/>
          <w:szCs w:val="32"/>
        </w:rPr>
        <w:t>1</w:t>
      </w:r>
      <w:r>
        <w:rPr>
          <w:rFonts w:hint="eastAsia" w:ascii="仿宋_GB2312" w:hAnsi="仿宋" w:eastAsia="仿宋_GB2312"/>
          <w:sz w:val="32"/>
          <w:szCs w:val="32"/>
        </w:rPr>
        <w:t>月</w:t>
      </w:r>
      <w:r>
        <w:rPr>
          <w:rFonts w:ascii="仿宋_GB2312" w:hAnsi="仿宋" w:eastAsia="仿宋_GB2312"/>
          <w:sz w:val="32"/>
          <w:szCs w:val="32"/>
        </w:rPr>
        <w:t>1</w:t>
      </w:r>
      <w:r>
        <w:rPr>
          <w:rFonts w:hint="eastAsia" w:ascii="仿宋_GB2312" w:hAnsi="仿宋" w:eastAsia="仿宋_GB2312"/>
          <w:sz w:val="32"/>
          <w:szCs w:val="32"/>
        </w:rPr>
        <w:t>日起至</w:t>
      </w:r>
      <w:r>
        <w:rPr>
          <w:rFonts w:ascii="仿宋_GB2312" w:hAnsi="仿宋" w:eastAsia="仿宋_GB2312"/>
          <w:sz w:val="32"/>
          <w:szCs w:val="32"/>
        </w:rPr>
        <w:t>2017</w:t>
      </w:r>
      <w:r>
        <w:rPr>
          <w:rFonts w:hint="eastAsia" w:ascii="仿宋_GB2312" w:hAnsi="仿宋" w:eastAsia="仿宋_GB2312"/>
          <w:sz w:val="32"/>
          <w:szCs w:val="32"/>
        </w:rPr>
        <w:t>年</w:t>
      </w:r>
      <w:r>
        <w:rPr>
          <w:rFonts w:ascii="仿宋_GB2312" w:hAnsi="仿宋" w:eastAsia="仿宋_GB2312"/>
          <w:sz w:val="32"/>
          <w:szCs w:val="32"/>
        </w:rPr>
        <w:t>12</w:t>
      </w:r>
      <w:r>
        <w:rPr>
          <w:rFonts w:hint="eastAsia" w:ascii="仿宋_GB2312" w:hAnsi="仿宋" w:eastAsia="仿宋_GB2312"/>
          <w:sz w:val="32"/>
          <w:szCs w:val="32"/>
        </w:rPr>
        <w:t>月</w:t>
      </w:r>
      <w:r>
        <w:rPr>
          <w:rFonts w:ascii="仿宋_GB2312" w:hAnsi="仿宋" w:eastAsia="仿宋_GB2312"/>
          <w:sz w:val="32"/>
          <w:szCs w:val="32"/>
        </w:rPr>
        <w:t>31</w:t>
      </w:r>
      <w:r>
        <w:rPr>
          <w:rFonts w:hint="eastAsia" w:ascii="仿宋_GB2312" w:hAnsi="仿宋" w:eastAsia="仿宋_GB2312"/>
          <w:sz w:val="32"/>
          <w:szCs w:val="32"/>
        </w:rPr>
        <w:t>日止。试行期结束后，市财政局将根据执行情况和实施效果，每年对奖励办法进行调整完善，报市政府研究后执行。本办法由市财政局负责解释，并负责具体组织实施。</w:t>
      </w:r>
    </w:p>
    <w:p>
      <w:pPr>
        <w:spacing w:line="600" w:lineRule="exact"/>
        <w:ind w:firstLine="640" w:firstLineChars="200"/>
        <w:rPr>
          <w:rFonts w:ascii="仿宋_GB2312" w:hAnsi="仿宋" w:eastAsia="仿宋_GB2312"/>
          <w:sz w:val="32"/>
          <w:szCs w:val="32"/>
        </w:rPr>
      </w:pPr>
    </w:p>
    <w:p>
      <w:pPr>
        <w:spacing w:line="600" w:lineRule="exact"/>
        <w:ind w:firstLine="640" w:firstLineChars="200"/>
        <w:rPr>
          <w:rFonts w:ascii="仿宋_GB2312" w:hAnsi="仿宋" w:eastAsia="仿宋_GB2312"/>
          <w:sz w:val="32"/>
          <w:szCs w:val="32"/>
        </w:rPr>
      </w:pPr>
    </w:p>
    <w:p>
      <w:pPr>
        <w:snapToGrid w:val="0"/>
        <w:spacing w:line="600" w:lineRule="exact"/>
        <w:ind w:right="640"/>
        <w:rPr>
          <w:rFonts w:ascii="仿宋_GB2312" w:hAnsi="宋体" w:eastAsia="仿宋_GB2312"/>
          <w:color w:val="000000"/>
          <w:kern w:val="0"/>
          <w:sz w:val="32"/>
        </w:rPr>
      </w:pPr>
    </w:p>
    <w:p>
      <w:pPr>
        <w:spacing w:line="400" w:lineRule="exact"/>
        <w:jc w:val="right"/>
        <w:rPr>
          <w:rFonts w:ascii="仿宋_GB2312" w:hAnsi="Arial" w:eastAsia="仿宋_GB2312"/>
          <w:color w:val="000000"/>
          <w:sz w:val="32"/>
        </w:rPr>
      </w:pPr>
      <w:r>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165100</wp:posOffset>
                </wp:positionV>
                <wp:extent cx="5471795" cy="25400"/>
                <wp:effectExtent l="0" t="9525" r="14605" b="22225"/>
                <wp:wrapNone/>
                <wp:docPr id="1" name="直线 14"/>
                <wp:cNvGraphicFramePr/>
                <a:graphic xmlns:a="http://schemas.openxmlformats.org/drawingml/2006/main">
                  <a:graphicData uri="http://schemas.microsoft.com/office/word/2010/wordprocessingShape">
                    <wps:wsp>
                      <wps:cNvSpPr/>
                      <wps:spPr>
                        <a:xfrm>
                          <a:off x="0" y="0"/>
                          <a:ext cx="5471795" cy="25400"/>
                        </a:xfrm>
                        <a:prstGeom prst="line">
                          <a:avLst/>
                        </a:prstGeom>
                        <a:ln w="19050" cap="flat" cmpd="sng">
                          <a:solidFill>
                            <a:srgbClr val="000000"/>
                          </a:solidFill>
                          <a:prstDash val="solid"/>
                          <a:headEnd type="none" w="med" len="med"/>
                          <a:tailEnd type="none" w="med" len="med"/>
                        </a:ln>
                      </wps:spPr>
                      <wps:bodyPr upright="true"/>
                    </wps:wsp>
                  </a:graphicData>
                </a:graphic>
              </wp:anchor>
            </w:drawing>
          </mc:Choice>
          <mc:Fallback>
            <w:pict>
              <v:line id="直线 14" o:spid="_x0000_s1026" o:spt="20" style="position:absolute;left:0pt;margin-top:13pt;height:2pt;width:430.85pt;mso-position-horizontal:center;z-index:251658240;mso-width-relative:page;mso-height-relative:page;" filled="f" stroked="t" coordsize="21600,21600" o:gfxdata="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BYAAABkcnMvUEsBAhQAFAAAAAgAh07iQNeuM/PU&#10;AAAABgEAAA8AAAAAAAAAAQAgAAAAOAAAAGRycy9kb3ducmV2LnhtbFBLAQIUABQAAAAIAIdO4kCc&#10;V17v1QEAAJYDAAAOAAAAAAAAAAEAIAAAADkBAABkcnMvZTJvRG9jLnhtbFBLBQYAAAAABgAGAFkB&#10;AACABQAAAAA=&#10;">
                <v:fill on="f" focussize="0,0"/>
                <v:stroke weight="1.5pt" color="#000000" joinstyle="round"/>
                <v:imagedata o:title=""/>
                <o:lock v:ext="edit" aspectratio="f"/>
              </v:line>
            </w:pict>
          </mc:Fallback>
        </mc:AlternateContent>
      </w:r>
    </w:p>
    <w:p>
      <w:pPr>
        <w:spacing w:line="400" w:lineRule="exact"/>
        <w:rPr>
          <w:rFonts w:ascii="仿宋_GB2312" w:eastAsia="仿宋_GB2312"/>
          <w:sz w:val="28"/>
        </w:rPr>
      </w:pPr>
      <w:r>
        <w:rPr>
          <w:rFonts w:hint="eastAsia" w:ascii="仿宋_GB2312" w:eastAsia="仿宋_GB2312"/>
          <w:b/>
          <w:sz w:val="28"/>
        </w:rPr>
        <w:t>抄送：</w:t>
      </w:r>
      <w:r>
        <w:rPr>
          <w:rFonts w:hint="eastAsia" w:ascii="仿宋_GB2312" w:eastAsia="仿宋_GB2312"/>
          <w:sz w:val="28"/>
        </w:rPr>
        <w:t>市委办公室，市人大常委会办公室，市政协办公室，市纪委</w:t>
      </w:r>
    </w:p>
    <w:p>
      <w:pPr>
        <w:spacing w:line="400" w:lineRule="exact"/>
        <w:rPr>
          <w:rFonts w:ascii="仿宋_GB2312" w:eastAsia="仿宋_GB2312"/>
          <w:sz w:val="28"/>
        </w:rPr>
      </w:pPr>
      <w:r>
        <w:rPr>
          <w:rFonts w:hint="eastAsia" w:ascii="仿宋_GB2312" w:eastAsia="仿宋_GB2312"/>
          <w:sz w:val="28"/>
        </w:rPr>
        <w:t>办公室，市法院，市检察院，市人武部。</w:t>
      </w:r>
    </w:p>
    <w:p>
      <w:pPr>
        <w:spacing w:line="200" w:lineRule="exact"/>
        <w:rPr>
          <w:rFonts w:ascii="仿宋_GB2312" w:eastAsia="仿宋_GB2312"/>
          <w:sz w:val="28"/>
        </w:rPr>
      </w:pPr>
      <w: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38735</wp:posOffset>
                </wp:positionV>
                <wp:extent cx="5471795" cy="635"/>
                <wp:effectExtent l="0" t="0" r="0" b="0"/>
                <wp:wrapNone/>
                <wp:docPr id="2" name="直线 15"/>
                <wp:cNvGraphicFramePr/>
                <a:graphic xmlns:a="http://schemas.openxmlformats.org/drawingml/2006/main">
                  <a:graphicData uri="http://schemas.microsoft.com/office/word/2010/wordprocessingShape">
                    <wps:wsp>
                      <wps:cNvSpPr/>
                      <wps:spPr>
                        <a:xfrm>
                          <a:off x="0" y="0"/>
                          <a:ext cx="5471795" cy="635"/>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直线 15" o:spid="_x0000_s1026" o:spt="20" style="position:absolute;left:0pt;margin-top:3.05pt;height:0.05pt;width:430.85pt;mso-position-horizontal:center;z-index:251659264;mso-width-relative:page;mso-height-relative:page;" filled="f" stroked="t" coordsize="21600,21600" o:gfxdata="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MhC2INIAAAAE&#10;AQAADwAAAAAAAAABACAAAAA4AAAAZHJzL2Rvd25yZXYueG1sUEsBAhQAFAAAAAgAh07iQFpUj2HT&#10;AQAAkwMAAA4AAAAAAAAAAQAgAAAANwEAAGRycy9lMm9Eb2MueG1sUEsFBgAAAAAGAAYAWQEAAHwF&#10;AAAAAA==&#10;">
                <v:fill on="f" focussize="0,0"/>
                <v:stroke color="#000000" joinstyle="round"/>
                <v:imagedata o:title=""/>
                <o:lock v:ext="edit" aspectratio="f"/>
              </v:line>
            </w:pict>
          </mc:Fallback>
        </mc:AlternateContent>
      </w:r>
    </w:p>
    <w:p>
      <w:pPr>
        <w:spacing w:line="400" w:lineRule="exact"/>
        <w:jc w:val="center"/>
        <w:rPr>
          <w:rFonts w:ascii="仿宋_GB2312" w:hAnsi="仿宋" w:eastAsia="仿宋_GB2312"/>
          <w:sz w:val="32"/>
          <w:szCs w:val="32"/>
        </w:rPr>
      </w:pPr>
      <w:r>
        <mc:AlternateContent>
          <mc:Choice Requires="wps">
            <w:drawing>
              <wp:anchor distT="0" distB="0" distL="114300" distR="114300" simplePos="0" relativeHeight="251660288" behindDoc="0" locked="0" layoutInCell="1" allowOverlap="1">
                <wp:simplePos x="0" y="0"/>
                <wp:positionH relativeFrom="column">
                  <wp:posOffset>-35560</wp:posOffset>
                </wp:positionH>
                <wp:positionV relativeFrom="paragraph">
                  <wp:posOffset>320040</wp:posOffset>
                </wp:positionV>
                <wp:extent cx="5471795" cy="7620"/>
                <wp:effectExtent l="0" t="0" r="0" b="0"/>
                <wp:wrapNone/>
                <wp:docPr id="3" name="直线 16"/>
                <wp:cNvGraphicFramePr/>
                <a:graphic xmlns:a="http://schemas.openxmlformats.org/drawingml/2006/main">
                  <a:graphicData uri="http://schemas.microsoft.com/office/word/2010/wordprocessingShape">
                    <wps:wsp>
                      <wps:cNvSpPr/>
                      <wps:spPr>
                        <a:xfrm>
                          <a:off x="0" y="0"/>
                          <a:ext cx="5471795" cy="7620"/>
                        </a:xfrm>
                        <a:prstGeom prst="line">
                          <a:avLst/>
                        </a:prstGeom>
                        <a:ln w="19050" cap="flat" cmpd="sng">
                          <a:solidFill>
                            <a:srgbClr val="000000"/>
                          </a:solidFill>
                          <a:prstDash val="solid"/>
                          <a:headEnd type="none" w="med" len="med"/>
                          <a:tailEnd type="none" w="med" len="med"/>
                        </a:ln>
                      </wps:spPr>
                      <wps:bodyPr upright="true"/>
                    </wps:wsp>
                  </a:graphicData>
                </a:graphic>
              </wp:anchor>
            </w:drawing>
          </mc:Choice>
          <mc:Fallback>
            <w:pict>
              <v:line id="直线 16" o:spid="_x0000_s1026" o:spt="20" style="position:absolute;left:0pt;margin-left:-2.8pt;margin-top:25.2pt;height:0.6pt;width:430.85pt;z-index:251660288;mso-width-relative:page;mso-height-relative:page;" filled="f" stroked="t" coordsize="21600,21600" o:gfxdata="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KIh&#10;vnTWAAAACAEAAA8AAAAAAAAAAQAgAAAAOAAAAGRycy9kb3ducmV2LnhtbFBLAQIUABQAAAAIAIdO&#10;4kB77n3O1gEAAJUDAAAOAAAAAAAAAAEAIAAAADsBAABkcnMvZTJvRG9jLnhtbFBLBQYAAAAABgAG&#10;AFkBAACDBQAAAAA=&#10;">
                <v:fill on="f" focussize="0,0"/>
                <v:stroke weight="1.5pt" color="#000000" joinstyle="round"/>
                <v:imagedata o:title=""/>
                <o:lock v:ext="edit" aspectratio="f"/>
              </v:line>
            </w:pict>
          </mc:Fallback>
        </mc:AlternateContent>
      </w:r>
      <w:r>
        <w:rPr>
          <w:rFonts w:hint="eastAsia" w:ascii="仿宋_GB2312" w:eastAsia="仿宋_GB2312"/>
          <w:sz w:val="28"/>
        </w:rPr>
        <w:t>滕州市人民政府办公室</w:t>
      </w:r>
      <w:r>
        <w:rPr>
          <w:rFonts w:ascii="仿宋_GB2312" w:eastAsia="仿宋_GB2312"/>
          <w:sz w:val="28"/>
        </w:rPr>
        <w:t xml:space="preserve">                    2017</w:t>
      </w:r>
      <w:r>
        <w:rPr>
          <w:rFonts w:hint="eastAsia" w:ascii="仿宋_GB2312" w:eastAsia="仿宋_GB2312"/>
          <w:sz w:val="28"/>
        </w:rPr>
        <w:t>年4月18日印发</w:t>
      </w:r>
    </w:p>
    <w:sectPr>
      <w:footerReference r:id="rId3" w:type="default"/>
      <w:footerReference r:id="rId4" w:type="even"/>
      <w:pgSz w:w="11906" w:h="16838"/>
      <w:pgMar w:top="1440" w:right="1797" w:bottom="1440" w:left="179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2"/>
                            <w:rPr>
                              <w:rStyle w:val="7"/>
                            </w:rPr>
                          </w:pPr>
                          <w:r>
                            <w:rPr>
                              <w:rStyle w:val="7"/>
                              <w:rFonts w:hint="eastAsia" w:ascii="宋体" w:hAnsi="宋体" w:cs="宋体"/>
                              <w:sz w:val="24"/>
                              <w:szCs w:val="24"/>
                            </w:rPr>
                            <w:fldChar w:fldCharType="begin"/>
                          </w:r>
                          <w:r>
                            <w:rPr>
                              <w:rStyle w:val="7"/>
                              <w:rFonts w:hint="eastAsia" w:ascii="宋体" w:hAnsi="宋体" w:cs="宋体"/>
                              <w:sz w:val="24"/>
                              <w:szCs w:val="24"/>
                            </w:rPr>
                            <w:instrText xml:space="preserve">PAGE  </w:instrText>
                          </w:r>
                          <w:r>
                            <w:rPr>
                              <w:rStyle w:val="7"/>
                              <w:rFonts w:hint="eastAsia" w:ascii="宋体" w:hAnsi="宋体" w:cs="宋体"/>
                              <w:sz w:val="24"/>
                              <w:szCs w:val="24"/>
                            </w:rPr>
                            <w:fldChar w:fldCharType="separate"/>
                          </w:r>
                          <w:r>
                            <w:rPr>
                              <w:rStyle w:val="7"/>
                              <w:rFonts w:ascii="宋体" w:hAnsi="宋体" w:cs="宋体"/>
                              <w:sz w:val="24"/>
                              <w:szCs w:val="24"/>
                            </w:rPr>
                            <w:t>- 1 -</w:t>
                          </w:r>
                          <w:r>
                            <w:rPr>
                              <w:rStyle w:val="7"/>
                              <w:rFonts w:hint="eastAsia" w:ascii="宋体" w:hAnsi="宋体" w:cs="宋体"/>
                              <w:sz w:val="24"/>
                              <w:szCs w:val="24"/>
                            </w:rPr>
                            <w:fldChar w:fldCharType="end"/>
                          </w:r>
                        </w:p>
                      </w:txbxContent>
                    </wps:txbx>
                    <wps:bodyPr wrap="none" lIns="0" tIns="0" rIns="0" bIns="0" upright="true">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zql5uc8AAAAFAQAADwAAAAAAAAABACAAAAA4AAAAZHJzL2Rvd25yZXYueG1s&#10;UEsBAhQAFAAAAAgAh07iQN2wVA2yAQAAUQMAAA4AAAAAAAAAAQAgAAAANAEAAGRycy9lMm9Eb2Mu&#10;eG1sUEsFBgAAAAAGAAYAWQEAAFgFAAAAAA==&#10;">
              <v:fill on="f" focussize="0,0"/>
              <v:stroke on="f"/>
              <v:imagedata o:title=""/>
              <o:lock v:ext="edit" aspectratio="f"/>
              <v:textbox inset="0mm,0mm,0mm,0mm" style="mso-fit-shape-to-text:t;">
                <w:txbxContent>
                  <w:p>
                    <w:pPr>
                      <w:pStyle w:val="2"/>
                      <w:rPr>
                        <w:rStyle w:val="7"/>
                      </w:rPr>
                    </w:pPr>
                    <w:r>
                      <w:rPr>
                        <w:rStyle w:val="7"/>
                        <w:rFonts w:hint="eastAsia" w:ascii="宋体" w:hAnsi="宋体" w:cs="宋体"/>
                        <w:sz w:val="24"/>
                        <w:szCs w:val="24"/>
                      </w:rPr>
                      <w:fldChar w:fldCharType="begin"/>
                    </w:r>
                    <w:r>
                      <w:rPr>
                        <w:rStyle w:val="7"/>
                        <w:rFonts w:hint="eastAsia" w:ascii="宋体" w:hAnsi="宋体" w:cs="宋体"/>
                        <w:sz w:val="24"/>
                        <w:szCs w:val="24"/>
                      </w:rPr>
                      <w:instrText xml:space="preserve">PAGE  </w:instrText>
                    </w:r>
                    <w:r>
                      <w:rPr>
                        <w:rStyle w:val="7"/>
                        <w:rFonts w:hint="eastAsia" w:ascii="宋体" w:hAnsi="宋体" w:cs="宋体"/>
                        <w:sz w:val="24"/>
                        <w:szCs w:val="24"/>
                      </w:rPr>
                      <w:fldChar w:fldCharType="separate"/>
                    </w:r>
                    <w:r>
                      <w:rPr>
                        <w:rStyle w:val="7"/>
                        <w:rFonts w:ascii="宋体" w:hAnsi="宋体" w:cs="宋体"/>
                        <w:sz w:val="24"/>
                        <w:szCs w:val="24"/>
                      </w:rPr>
                      <w:t>- 1 -</w:t>
                    </w:r>
                    <w:r>
                      <w:rPr>
                        <w:rStyle w:val="7"/>
                        <w:rFonts w:hint="eastAsia" w:ascii="宋体" w:hAnsi="宋体" w:cs="宋体"/>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rPr>
        <w:rStyle w:val="7"/>
      </w:rPr>
      <w:fldChar w:fldCharType="begin"/>
    </w:r>
    <w:r>
      <w:rPr>
        <w:rStyle w:val="7"/>
      </w:rPr>
      <w:instrText xml:space="preserve">PAGE  </w:instrText>
    </w:r>
    <w:r>
      <w:rPr>
        <w:rStyle w:val="7"/>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4A5"/>
    <w:rsid w:val="0000547E"/>
    <w:rsid w:val="00017123"/>
    <w:rsid w:val="000173E9"/>
    <w:rsid w:val="00024EF8"/>
    <w:rsid w:val="00026804"/>
    <w:rsid w:val="00030ED1"/>
    <w:rsid w:val="0005641B"/>
    <w:rsid w:val="00056BA4"/>
    <w:rsid w:val="000624F4"/>
    <w:rsid w:val="00075502"/>
    <w:rsid w:val="000A3A66"/>
    <w:rsid w:val="000A55F5"/>
    <w:rsid w:val="000C4652"/>
    <w:rsid w:val="000E504F"/>
    <w:rsid w:val="000F37E5"/>
    <w:rsid w:val="00113229"/>
    <w:rsid w:val="00116BFD"/>
    <w:rsid w:val="00133292"/>
    <w:rsid w:val="0013612D"/>
    <w:rsid w:val="00142374"/>
    <w:rsid w:val="00147A6D"/>
    <w:rsid w:val="00150F4E"/>
    <w:rsid w:val="00162CDF"/>
    <w:rsid w:val="00164F99"/>
    <w:rsid w:val="00172E6A"/>
    <w:rsid w:val="00181D24"/>
    <w:rsid w:val="001849B0"/>
    <w:rsid w:val="00184BB5"/>
    <w:rsid w:val="00185D66"/>
    <w:rsid w:val="00187717"/>
    <w:rsid w:val="0019212F"/>
    <w:rsid w:val="0019471F"/>
    <w:rsid w:val="001A0D43"/>
    <w:rsid w:val="001B247C"/>
    <w:rsid w:val="001B3A1C"/>
    <w:rsid w:val="001B446C"/>
    <w:rsid w:val="001B58DF"/>
    <w:rsid w:val="001F299E"/>
    <w:rsid w:val="001F3646"/>
    <w:rsid w:val="00203E5C"/>
    <w:rsid w:val="002133B7"/>
    <w:rsid w:val="002216B4"/>
    <w:rsid w:val="00221C52"/>
    <w:rsid w:val="00230C57"/>
    <w:rsid w:val="00230C73"/>
    <w:rsid w:val="00237ACD"/>
    <w:rsid w:val="0025374F"/>
    <w:rsid w:val="00266851"/>
    <w:rsid w:val="00276C93"/>
    <w:rsid w:val="00277583"/>
    <w:rsid w:val="002905D1"/>
    <w:rsid w:val="00291467"/>
    <w:rsid w:val="002915D4"/>
    <w:rsid w:val="002940AB"/>
    <w:rsid w:val="002B1C69"/>
    <w:rsid w:val="002C7C71"/>
    <w:rsid w:val="002D3E2F"/>
    <w:rsid w:val="002D7E9F"/>
    <w:rsid w:val="002E19FC"/>
    <w:rsid w:val="002E231D"/>
    <w:rsid w:val="002E707F"/>
    <w:rsid w:val="0030014E"/>
    <w:rsid w:val="00313823"/>
    <w:rsid w:val="00327E08"/>
    <w:rsid w:val="00355F01"/>
    <w:rsid w:val="003616D0"/>
    <w:rsid w:val="00362510"/>
    <w:rsid w:val="00366FD1"/>
    <w:rsid w:val="003710AE"/>
    <w:rsid w:val="00393C4E"/>
    <w:rsid w:val="003A1B39"/>
    <w:rsid w:val="003E266A"/>
    <w:rsid w:val="003E6507"/>
    <w:rsid w:val="00423963"/>
    <w:rsid w:val="00427AD1"/>
    <w:rsid w:val="004412E8"/>
    <w:rsid w:val="00446D34"/>
    <w:rsid w:val="0045742C"/>
    <w:rsid w:val="00467A77"/>
    <w:rsid w:val="004A4EB7"/>
    <w:rsid w:val="004B3D73"/>
    <w:rsid w:val="004B77E5"/>
    <w:rsid w:val="004C2257"/>
    <w:rsid w:val="004C40B0"/>
    <w:rsid w:val="004D0E39"/>
    <w:rsid w:val="004E1091"/>
    <w:rsid w:val="004E574B"/>
    <w:rsid w:val="00500742"/>
    <w:rsid w:val="00523936"/>
    <w:rsid w:val="00526ED4"/>
    <w:rsid w:val="00533269"/>
    <w:rsid w:val="00535DD9"/>
    <w:rsid w:val="005412AE"/>
    <w:rsid w:val="005540A5"/>
    <w:rsid w:val="005619B7"/>
    <w:rsid w:val="00566A71"/>
    <w:rsid w:val="005678EE"/>
    <w:rsid w:val="005772D2"/>
    <w:rsid w:val="00582CAE"/>
    <w:rsid w:val="00583123"/>
    <w:rsid w:val="005924FE"/>
    <w:rsid w:val="005B20B2"/>
    <w:rsid w:val="005B24A5"/>
    <w:rsid w:val="005B4E20"/>
    <w:rsid w:val="005B5F4B"/>
    <w:rsid w:val="005C1137"/>
    <w:rsid w:val="005C2A2E"/>
    <w:rsid w:val="005C55A1"/>
    <w:rsid w:val="005E0AC9"/>
    <w:rsid w:val="005F148F"/>
    <w:rsid w:val="005F20E4"/>
    <w:rsid w:val="005F77CB"/>
    <w:rsid w:val="00601A12"/>
    <w:rsid w:val="00604A91"/>
    <w:rsid w:val="00610CCC"/>
    <w:rsid w:val="00610E1F"/>
    <w:rsid w:val="00627B83"/>
    <w:rsid w:val="00634517"/>
    <w:rsid w:val="00636037"/>
    <w:rsid w:val="00644624"/>
    <w:rsid w:val="00651F69"/>
    <w:rsid w:val="00660844"/>
    <w:rsid w:val="00672681"/>
    <w:rsid w:val="00690542"/>
    <w:rsid w:val="006B4354"/>
    <w:rsid w:val="006C0425"/>
    <w:rsid w:val="006D37D8"/>
    <w:rsid w:val="006D42E0"/>
    <w:rsid w:val="007008CE"/>
    <w:rsid w:val="0070389C"/>
    <w:rsid w:val="00705DFC"/>
    <w:rsid w:val="00713FC2"/>
    <w:rsid w:val="007237D0"/>
    <w:rsid w:val="00724382"/>
    <w:rsid w:val="00726189"/>
    <w:rsid w:val="00743AD3"/>
    <w:rsid w:val="00756E25"/>
    <w:rsid w:val="0076094E"/>
    <w:rsid w:val="007667F0"/>
    <w:rsid w:val="00774869"/>
    <w:rsid w:val="00776F96"/>
    <w:rsid w:val="007829C3"/>
    <w:rsid w:val="00786BBC"/>
    <w:rsid w:val="00797F8D"/>
    <w:rsid w:val="007A5FDD"/>
    <w:rsid w:val="007B3EFC"/>
    <w:rsid w:val="007C7482"/>
    <w:rsid w:val="007F146E"/>
    <w:rsid w:val="007F2070"/>
    <w:rsid w:val="00802F90"/>
    <w:rsid w:val="00811D69"/>
    <w:rsid w:val="00814F78"/>
    <w:rsid w:val="00817AE7"/>
    <w:rsid w:val="00833212"/>
    <w:rsid w:val="00842422"/>
    <w:rsid w:val="00877F8E"/>
    <w:rsid w:val="008824E1"/>
    <w:rsid w:val="00887D92"/>
    <w:rsid w:val="00895E4A"/>
    <w:rsid w:val="008A17C8"/>
    <w:rsid w:val="008A4048"/>
    <w:rsid w:val="008B0CFD"/>
    <w:rsid w:val="008B136D"/>
    <w:rsid w:val="008B6C92"/>
    <w:rsid w:val="008D293D"/>
    <w:rsid w:val="008D2AC6"/>
    <w:rsid w:val="008D6E95"/>
    <w:rsid w:val="008E265C"/>
    <w:rsid w:val="008F3666"/>
    <w:rsid w:val="0092319B"/>
    <w:rsid w:val="0093631E"/>
    <w:rsid w:val="00962B52"/>
    <w:rsid w:val="009728DD"/>
    <w:rsid w:val="009730D1"/>
    <w:rsid w:val="00997D4E"/>
    <w:rsid w:val="009A4598"/>
    <w:rsid w:val="009A5796"/>
    <w:rsid w:val="009A712D"/>
    <w:rsid w:val="009B3321"/>
    <w:rsid w:val="009B3D4B"/>
    <w:rsid w:val="009B776C"/>
    <w:rsid w:val="009C1A0B"/>
    <w:rsid w:val="009D18B2"/>
    <w:rsid w:val="009D7F6D"/>
    <w:rsid w:val="009F2FCB"/>
    <w:rsid w:val="00A00A87"/>
    <w:rsid w:val="00A04734"/>
    <w:rsid w:val="00A13A54"/>
    <w:rsid w:val="00A2212A"/>
    <w:rsid w:val="00A23265"/>
    <w:rsid w:val="00A256E1"/>
    <w:rsid w:val="00A47AF3"/>
    <w:rsid w:val="00A50ECE"/>
    <w:rsid w:val="00A72B8F"/>
    <w:rsid w:val="00A9143E"/>
    <w:rsid w:val="00AA0A89"/>
    <w:rsid w:val="00AC3513"/>
    <w:rsid w:val="00AE6F54"/>
    <w:rsid w:val="00AF0815"/>
    <w:rsid w:val="00AF52E7"/>
    <w:rsid w:val="00B0456E"/>
    <w:rsid w:val="00B12E38"/>
    <w:rsid w:val="00B13DC4"/>
    <w:rsid w:val="00B24E85"/>
    <w:rsid w:val="00B268D4"/>
    <w:rsid w:val="00B42BB1"/>
    <w:rsid w:val="00B45999"/>
    <w:rsid w:val="00B521EC"/>
    <w:rsid w:val="00B54367"/>
    <w:rsid w:val="00B6453C"/>
    <w:rsid w:val="00B652ED"/>
    <w:rsid w:val="00B8173B"/>
    <w:rsid w:val="00B874AA"/>
    <w:rsid w:val="00BB2320"/>
    <w:rsid w:val="00BB237B"/>
    <w:rsid w:val="00BC2AA1"/>
    <w:rsid w:val="00BC527D"/>
    <w:rsid w:val="00BE3910"/>
    <w:rsid w:val="00BF123A"/>
    <w:rsid w:val="00BF29E6"/>
    <w:rsid w:val="00C10F1B"/>
    <w:rsid w:val="00C27513"/>
    <w:rsid w:val="00C4063C"/>
    <w:rsid w:val="00C611F6"/>
    <w:rsid w:val="00C70805"/>
    <w:rsid w:val="00C71B2B"/>
    <w:rsid w:val="00C80D1D"/>
    <w:rsid w:val="00C856F3"/>
    <w:rsid w:val="00C9014B"/>
    <w:rsid w:val="00C96111"/>
    <w:rsid w:val="00C978ED"/>
    <w:rsid w:val="00CA1D91"/>
    <w:rsid w:val="00CC614B"/>
    <w:rsid w:val="00CC6B7B"/>
    <w:rsid w:val="00CC6D38"/>
    <w:rsid w:val="00CD1A89"/>
    <w:rsid w:val="00CD5789"/>
    <w:rsid w:val="00CD6E86"/>
    <w:rsid w:val="00CF4A9E"/>
    <w:rsid w:val="00CF676B"/>
    <w:rsid w:val="00D2194D"/>
    <w:rsid w:val="00D22D0C"/>
    <w:rsid w:val="00D2688D"/>
    <w:rsid w:val="00D27A23"/>
    <w:rsid w:val="00D37144"/>
    <w:rsid w:val="00D56647"/>
    <w:rsid w:val="00D60B99"/>
    <w:rsid w:val="00D65991"/>
    <w:rsid w:val="00D71693"/>
    <w:rsid w:val="00D80797"/>
    <w:rsid w:val="00DB47A3"/>
    <w:rsid w:val="00DE14BB"/>
    <w:rsid w:val="00DF0B0E"/>
    <w:rsid w:val="00E17081"/>
    <w:rsid w:val="00E22B19"/>
    <w:rsid w:val="00E232A6"/>
    <w:rsid w:val="00E426C7"/>
    <w:rsid w:val="00E44860"/>
    <w:rsid w:val="00E45690"/>
    <w:rsid w:val="00E45E53"/>
    <w:rsid w:val="00E46764"/>
    <w:rsid w:val="00E639AA"/>
    <w:rsid w:val="00E7162C"/>
    <w:rsid w:val="00EA0D0A"/>
    <w:rsid w:val="00EA35FA"/>
    <w:rsid w:val="00EC2E1C"/>
    <w:rsid w:val="00EF4714"/>
    <w:rsid w:val="00F03EF2"/>
    <w:rsid w:val="00F056BA"/>
    <w:rsid w:val="00F07F6E"/>
    <w:rsid w:val="00F245BA"/>
    <w:rsid w:val="00F274C1"/>
    <w:rsid w:val="00F30323"/>
    <w:rsid w:val="00F500ED"/>
    <w:rsid w:val="00F53D93"/>
    <w:rsid w:val="00F64D57"/>
    <w:rsid w:val="00F77636"/>
    <w:rsid w:val="00F815C4"/>
    <w:rsid w:val="00F81F16"/>
    <w:rsid w:val="00F84BE8"/>
    <w:rsid w:val="00F86224"/>
    <w:rsid w:val="00F90E1F"/>
    <w:rsid w:val="00F96A06"/>
    <w:rsid w:val="00FC031C"/>
    <w:rsid w:val="00FD04D4"/>
    <w:rsid w:val="00FF3BC7"/>
    <w:rsid w:val="2E495C84"/>
    <w:rsid w:val="6F8C33CD"/>
    <w:rsid w:val="79170F3A"/>
    <w:rsid w:val="D3CD8B03"/>
    <w:rsid w:val="DB817CC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szCs w:val="18"/>
    </w:rPr>
  </w:style>
  <w:style w:type="paragraph" w:styleId="3">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character" w:styleId="7">
    <w:name w:val="page number"/>
    <w:basedOn w:val="6"/>
    <w:qFormat/>
    <w:uiPriority w:val="99"/>
    <w:rPr>
      <w:rFonts w:cs="Times New Roman"/>
    </w:rPr>
  </w:style>
  <w:style w:type="character" w:customStyle="1" w:styleId="8">
    <w:name w:val="页脚 Char"/>
    <w:basedOn w:val="6"/>
    <w:link w:val="2"/>
    <w:semiHidden/>
    <w:qFormat/>
    <w:locked/>
    <w:uiPriority w:val="99"/>
    <w:rPr>
      <w:rFonts w:cs="Times New Roman"/>
      <w:sz w:val="18"/>
      <w:szCs w:val="18"/>
    </w:rPr>
  </w:style>
  <w:style w:type="character" w:customStyle="1" w:styleId="9">
    <w:name w:val="页眉 Char"/>
    <w:basedOn w:val="6"/>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k</Company>
  <Pages>4</Pages>
  <Words>1360</Words>
  <Characters>1404</Characters>
  <Lines>1</Lines>
  <Paragraphs>2</Paragraphs>
  <TotalTime>2</TotalTime>
  <ScaleCrop>false</ScaleCrop>
  <LinksUpToDate>false</LinksUpToDate>
  <CharactersWithSpaces>1461</CharactersWithSpaces>
  <Application>WPS Office_11.1.0.9719_F1E327BC-269C-435d-A152-05C5408002CA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2017-04-24T11:10:00Z</dcterms:created>
  <dc:creator>Administrator</dc:creator>
  <cp:lastModifiedBy>爱新觉罗-琛</cp:lastModifiedBy>
  <cp:lastPrinted>2017-04-01T15:46:00Z</cp:lastPrinted>
  <dcterms:modified xsi:type="dcterms:W3CDTF">2021-12-17T11:06:09Z</dcterms:modified>
  <dc:title>滕财预〔2017〕  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2052-11.1.0.9719</vt:lpwstr>
  </property>
</Properties>
</file>